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6C" w:rsidRPr="00164367" w:rsidRDefault="002A2F6C">
      <w:pPr>
        <w:autoSpaceDE/>
        <w:jc w:val="right"/>
        <w:rPr>
          <w:rFonts w:ascii="Arial" w:hAnsi="Arial" w:cs="Arial"/>
          <w:i/>
          <w:sz w:val="22"/>
        </w:rPr>
      </w:pPr>
    </w:p>
    <w:p w:rsidR="002A2F6C" w:rsidRPr="00164367" w:rsidRDefault="002A2F6C">
      <w:pPr>
        <w:autoSpaceDE/>
        <w:jc w:val="right"/>
        <w:rPr>
          <w:rFonts w:ascii="Arial" w:hAnsi="Arial" w:cs="Arial"/>
          <w:i/>
          <w:sz w:val="22"/>
        </w:rPr>
      </w:pPr>
    </w:p>
    <w:p w:rsidR="00303F50" w:rsidRPr="00164367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Pr="00164367" w:rsidRDefault="00303F50">
      <w:pPr>
        <w:pStyle w:val="Nagwek1"/>
        <w:rPr>
          <w:rFonts w:ascii="Arial" w:hAnsi="Arial" w:cs="Arial"/>
          <w:sz w:val="22"/>
        </w:rPr>
      </w:pPr>
      <w:r w:rsidRPr="00164367">
        <w:rPr>
          <w:rFonts w:ascii="Arial" w:hAnsi="Arial" w:cs="Arial"/>
          <w:b/>
          <w:bCs/>
          <w:sz w:val="24"/>
        </w:rPr>
        <w:t>KARTA KURSU</w:t>
      </w:r>
    </w:p>
    <w:p w:rsidR="00303F50" w:rsidRPr="00164367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164367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164367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303F50" w:rsidRPr="0016436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164367" w:rsidRDefault="00241D31" w:rsidP="00E1545B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982392" w:rsidRPr="00164367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452FF5" w:rsidRPr="00164367">
              <w:rPr>
                <w:rFonts w:ascii="Arial" w:hAnsi="Arial" w:cs="Arial"/>
                <w:sz w:val="20"/>
                <w:szCs w:val="20"/>
              </w:rPr>
              <w:t>(</w:t>
            </w:r>
            <w:r w:rsidR="003E5DE7" w:rsidRPr="001643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specjalność </w:t>
            </w:r>
            <w:r w:rsidR="003E5DE7" w:rsidRPr="00164367">
              <w:rPr>
                <w:rFonts w:ascii="Arial" w:hAnsi="Arial" w:cs="Arial"/>
                <w:color w:val="000000"/>
                <w:sz w:val="20"/>
                <w:szCs w:val="20"/>
              </w:rPr>
              <w:t xml:space="preserve">językoznawcza, </w:t>
            </w:r>
            <w:r w:rsidR="003E5DE7" w:rsidRPr="001643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profil </w:t>
            </w:r>
            <w:r w:rsidR="003E5DE7" w:rsidRPr="00164367">
              <w:rPr>
                <w:rFonts w:ascii="Arial" w:hAnsi="Arial" w:cs="Arial"/>
                <w:color w:val="000000"/>
                <w:sz w:val="20"/>
                <w:szCs w:val="20"/>
              </w:rPr>
              <w:t>tłumaczeniowy</w:t>
            </w:r>
            <w:r w:rsidR="00F046EA" w:rsidRPr="0016436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03F50" w:rsidRPr="0016436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164367" w:rsidRDefault="00F046EA" w:rsidP="003E5DE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4367">
              <w:rPr>
                <w:rFonts w:ascii="Arial" w:hAnsi="Arial" w:cs="Arial"/>
                <w:sz w:val="20"/>
                <w:szCs w:val="20"/>
                <w:lang w:val="en-US"/>
              </w:rPr>
              <w:t xml:space="preserve"> Thesis Seminar</w:t>
            </w:r>
            <w:r w:rsidR="00E1545B" w:rsidRPr="00164367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  <w:r w:rsidRPr="0016436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E5DE7" w:rsidRPr="00164367">
              <w:rPr>
                <w:rFonts w:ascii="Arial" w:hAnsi="Arial" w:cs="Arial"/>
                <w:sz w:val="20"/>
                <w:szCs w:val="20"/>
                <w:lang w:val="en-US"/>
              </w:rPr>
              <w:t>(linguistics specialization, translation profile)</w:t>
            </w:r>
          </w:p>
        </w:tc>
      </w:tr>
    </w:tbl>
    <w:p w:rsidR="00303F50" w:rsidRPr="00164367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827D3B" w:rsidRPr="0016436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164367" w:rsidRDefault="003E5DE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16436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164367" w:rsidRDefault="003E5DE7" w:rsidP="00645B5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dr Halina Chmiel-Bożek</w:t>
            </w:r>
          </w:p>
        </w:tc>
      </w:tr>
      <w:tr w:rsidR="00827D3B" w:rsidRPr="0016436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16436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164367" w:rsidRDefault="00645B5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16436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  <w:r w:rsidRPr="00164367">
        <w:rPr>
          <w:rFonts w:ascii="Arial" w:hAnsi="Arial" w:cs="Arial"/>
          <w:sz w:val="22"/>
          <w:szCs w:val="16"/>
        </w:rPr>
        <w:t>Opis kursu (cele kształcenia)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303F50" w:rsidRPr="00164367">
        <w:trPr>
          <w:trHeight w:val="1365"/>
        </w:trPr>
        <w:tc>
          <w:tcPr>
            <w:tcW w:w="9640" w:type="dxa"/>
          </w:tcPr>
          <w:p w:rsidR="00350EA6" w:rsidRPr="00164367" w:rsidRDefault="00986884" w:rsidP="00645B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Podstawowym c</w:t>
            </w:r>
            <w:r w:rsidR="00645B5E" w:rsidRPr="00164367">
              <w:rPr>
                <w:rFonts w:ascii="Arial" w:hAnsi="Arial" w:cs="Arial"/>
                <w:sz w:val="20"/>
                <w:szCs w:val="20"/>
              </w:rPr>
              <w:t xml:space="preserve">elem kursu jest </w:t>
            </w:r>
            <w:r w:rsidR="00B56911" w:rsidRPr="00164367">
              <w:rPr>
                <w:rFonts w:ascii="Arial" w:hAnsi="Arial" w:cs="Arial"/>
                <w:sz w:val="20"/>
                <w:szCs w:val="20"/>
              </w:rPr>
              <w:t xml:space="preserve">przygotowanie studenta do napisania pracy dyplomowej ze szczególnym uwzględnieniem jej wymogów formalnych. </w:t>
            </w:r>
            <w:r w:rsidRPr="00164367">
              <w:rPr>
                <w:rFonts w:ascii="Arial" w:hAnsi="Arial" w:cs="Arial"/>
                <w:sz w:val="20"/>
                <w:szCs w:val="20"/>
              </w:rPr>
              <w:t>Na to przygotowanie składają się: postawi</w:t>
            </w:r>
            <w:r w:rsidR="00AE17A0" w:rsidRPr="00164367">
              <w:rPr>
                <w:rFonts w:ascii="Arial" w:hAnsi="Arial" w:cs="Arial"/>
                <w:sz w:val="20"/>
                <w:szCs w:val="20"/>
              </w:rPr>
              <w:t>e</w:t>
            </w:r>
            <w:r w:rsidRPr="00164367">
              <w:rPr>
                <w:rFonts w:ascii="Arial" w:hAnsi="Arial" w:cs="Arial"/>
                <w:sz w:val="20"/>
                <w:szCs w:val="20"/>
              </w:rPr>
              <w:t>nie problemu badawczego z zakresu</w:t>
            </w:r>
            <w:r w:rsidR="00452FF5" w:rsidRPr="001643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tłumaczenia pragmatycznego</w:t>
            </w:r>
            <w:r w:rsidR="00AE17A0" w:rsidRPr="00164367">
              <w:rPr>
                <w:rFonts w:ascii="Arial" w:hAnsi="Arial" w:cs="Arial"/>
                <w:sz w:val="20"/>
                <w:szCs w:val="20"/>
              </w:rPr>
              <w:t>,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 ułożenie planu pracy naukowej, dokonanie krytycznego wyboru opracowań naukowych składających się na bibliografię</w:t>
            </w:r>
            <w:r w:rsidR="00350EA6" w:rsidRPr="00164367">
              <w:rPr>
                <w:rFonts w:ascii="Arial" w:hAnsi="Arial" w:cs="Arial"/>
                <w:sz w:val="20"/>
                <w:szCs w:val="20"/>
              </w:rPr>
              <w:t>, redakcja pracy dyplomowej według ściśle określonych reguł formalnych.</w:t>
            </w:r>
            <w:r w:rsidR="0040091C" w:rsidRPr="00164367">
              <w:rPr>
                <w:rFonts w:ascii="Arial" w:hAnsi="Arial" w:cs="Arial"/>
                <w:sz w:val="20"/>
                <w:szCs w:val="20"/>
              </w:rPr>
              <w:t xml:space="preserve"> Kurs stanowi </w:t>
            </w:r>
            <w:r w:rsidR="00400D4F">
              <w:rPr>
                <w:rFonts w:ascii="Arial" w:hAnsi="Arial" w:cs="Arial"/>
                <w:sz w:val="20"/>
                <w:szCs w:val="20"/>
              </w:rPr>
              <w:t xml:space="preserve">też </w:t>
            </w:r>
            <w:r w:rsidR="0040091C" w:rsidRPr="00164367">
              <w:rPr>
                <w:rFonts w:ascii="Arial" w:hAnsi="Arial" w:cs="Arial"/>
                <w:sz w:val="20"/>
                <w:szCs w:val="20"/>
              </w:rPr>
              <w:t>przygotowanie do egzaminu dyplom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ow</w:t>
            </w:r>
            <w:r w:rsidR="0040091C" w:rsidRPr="00164367">
              <w:rPr>
                <w:rFonts w:ascii="Arial" w:hAnsi="Arial" w:cs="Arial"/>
                <w:sz w:val="20"/>
                <w:szCs w:val="20"/>
              </w:rPr>
              <w:t>ego.</w:t>
            </w:r>
          </w:p>
          <w:p w:rsidR="00303F50" w:rsidRPr="00164367" w:rsidRDefault="00303F50" w:rsidP="00AE17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  <w:r w:rsidRPr="00164367">
        <w:rPr>
          <w:rFonts w:ascii="Arial" w:hAnsi="Arial" w:cs="Arial"/>
          <w:sz w:val="22"/>
          <w:szCs w:val="16"/>
        </w:rPr>
        <w:t>Warunki wstępne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303F50" w:rsidRPr="0016436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164367" w:rsidRDefault="0052633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 xml:space="preserve">Znajomość </w:t>
            </w:r>
            <w:r w:rsidR="003E5DE7" w:rsidRPr="00164367">
              <w:rPr>
                <w:rFonts w:ascii="Arial" w:hAnsi="Arial" w:cs="Arial"/>
                <w:sz w:val="22"/>
                <w:szCs w:val="16"/>
              </w:rPr>
              <w:t xml:space="preserve">zagadnień teoretycznych dotyczących językoznawstwa i tłumaczenia </w:t>
            </w:r>
            <w:r w:rsidRPr="00164367">
              <w:rPr>
                <w:rFonts w:ascii="Arial" w:hAnsi="Arial" w:cs="Arial"/>
                <w:sz w:val="22"/>
                <w:szCs w:val="16"/>
              </w:rPr>
              <w:t>na poziomie studiów I stopnia</w:t>
            </w:r>
          </w:p>
          <w:p w:rsidR="00303F50" w:rsidRPr="00164367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RPr="0016436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164367" w:rsidRDefault="006E78C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>Kompetencje językowe na poziomie B2</w:t>
            </w:r>
          </w:p>
        </w:tc>
      </w:tr>
      <w:tr w:rsidR="00303F50" w:rsidRPr="00164367"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164367" w:rsidRDefault="003E5DE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303F50" w:rsidRPr="00164367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4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  <w:r w:rsidRPr="00164367">
        <w:rPr>
          <w:rFonts w:ascii="Arial" w:hAnsi="Arial" w:cs="Arial"/>
          <w:sz w:val="22"/>
          <w:szCs w:val="16"/>
        </w:rPr>
        <w:t xml:space="preserve">Efekty </w:t>
      </w:r>
      <w:r w:rsidR="006A7E0B" w:rsidRPr="00164367">
        <w:rPr>
          <w:rFonts w:ascii="Arial" w:hAnsi="Arial" w:cs="Arial"/>
          <w:sz w:val="22"/>
          <w:szCs w:val="16"/>
        </w:rPr>
        <w:t>kształcenia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303F50" w:rsidRPr="0016436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164367" w:rsidRDefault="00303F50" w:rsidP="006A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A7E0B" w:rsidRPr="00164367">
              <w:rPr>
                <w:rFonts w:ascii="Arial" w:hAnsi="Arial" w:cs="Arial"/>
                <w:sz w:val="20"/>
                <w:szCs w:val="20"/>
              </w:rPr>
              <w:t>kształcenia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164367">
        <w:trPr>
          <w:cantSplit/>
          <w:trHeight w:val="1838"/>
        </w:trPr>
        <w:tc>
          <w:tcPr>
            <w:tcW w:w="1979" w:type="dxa"/>
            <w:vMerge/>
          </w:tcPr>
          <w:p w:rsidR="00303F50" w:rsidRPr="0016436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W0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1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D76D3" w:rsidRPr="0016436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zna 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>podstawową</w:t>
            </w:r>
            <w:r w:rsidR="004D76D3" w:rsidRPr="0016436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terminologię i wybrane teorie z zakresu </w:t>
            </w:r>
            <w:r w:rsidR="003E5DE7" w:rsidRPr="0016436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językoznawstwa</w:t>
            </w:r>
            <w:r w:rsidR="00F25EEA" w:rsidRPr="0016436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W0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2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wykazuje </w:t>
            </w:r>
            <w:r w:rsidR="004D76D3" w:rsidRPr="00164367">
              <w:rPr>
                <w:rFonts w:ascii="Arial" w:hAnsi="Arial" w:cs="Arial"/>
                <w:sz w:val="20"/>
                <w:szCs w:val="20"/>
              </w:rPr>
              <w:t xml:space="preserve">podstawową 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wiedzę o powiązaniach dziedzin nauki i dyscyplin naukowych właściwych dla </w:t>
            </w:r>
            <w:r w:rsidR="003E5DE7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językoznawstwa 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>z innymi dziedzinami i dyscyplinami obszaru nauk humanistycznych</w:t>
            </w:r>
            <w:r w:rsidR="00F25EEA" w:rsidRPr="00164367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303F50" w:rsidRPr="0016436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K1_W0</w:t>
            </w:r>
            <w:r w:rsidR="00394B50" w:rsidRPr="00164367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K1_W0</w:t>
            </w:r>
            <w:r w:rsidR="004F0DD6" w:rsidRPr="00164367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F25EEA" w:rsidRPr="00164367" w:rsidRDefault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F25EEA" w:rsidRPr="00164367" w:rsidRDefault="00F25EEA" w:rsidP="00464E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303F50" w:rsidRPr="0016436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A7E0B" w:rsidRPr="00164367">
              <w:rPr>
                <w:rFonts w:ascii="Arial" w:hAnsi="Arial" w:cs="Arial"/>
                <w:sz w:val="20"/>
                <w:szCs w:val="20"/>
              </w:rPr>
              <w:t>kształcenia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164367">
        <w:trPr>
          <w:cantSplit/>
          <w:trHeight w:val="2116"/>
        </w:trPr>
        <w:tc>
          <w:tcPr>
            <w:tcW w:w="1985" w:type="dxa"/>
            <w:vMerge/>
          </w:tcPr>
          <w:p w:rsidR="00303F50" w:rsidRPr="0016436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4D76D3" w:rsidRPr="00164367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</w:t>
            </w:r>
            <w:r w:rsidR="009B747C" w:rsidRPr="00164367">
              <w:rPr>
                <w:rFonts w:ascii="Arial" w:eastAsia="MyriadPro-Regular" w:hAnsi="Arial" w:cs="Arial"/>
                <w:sz w:val="20"/>
                <w:szCs w:val="20"/>
              </w:rPr>
              <w:t>cjonować i użytkować informacje</w:t>
            </w:r>
            <w:r w:rsidR="004D76D3" w:rsidRPr="00164367">
              <w:rPr>
                <w:rFonts w:ascii="Arial" w:eastAsia="MyriadPro-Regular" w:hAnsi="Arial" w:cs="Arial"/>
                <w:sz w:val="20"/>
                <w:szCs w:val="20"/>
              </w:rPr>
              <w:t xml:space="preserve"> z wykorzystaniem różnych źródeł i sposobów</w:t>
            </w:r>
            <w:r w:rsidR="0055552C" w:rsidRPr="00164367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4D76D3" w:rsidRPr="00164367">
              <w:rPr>
                <w:rFonts w:ascii="Arial" w:hAnsi="Arial" w:cs="Arial"/>
                <w:sz w:val="20"/>
                <w:szCs w:val="20"/>
              </w:rPr>
              <w:t>formułuje i analizu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je problemy badawcze w zakresie 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językoznawstwa</w:t>
            </w:r>
            <w:r w:rsidR="0055552C" w:rsidRPr="0016436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D76D3" w:rsidRPr="00164367" w:rsidRDefault="00C77885" w:rsidP="00C77885">
            <w:pPr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U0</w:t>
            </w:r>
            <w:r w:rsidR="003E5DE7" w:rsidRPr="00164367">
              <w:rPr>
                <w:rFonts w:ascii="Arial" w:hAnsi="Arial" w:cs="Arial"/>
                <w:sz w:val="20"/>
                <w:szCs w:val="20"/>
              </w:rPr>
              <w:t>3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przygotowuje i redaguje prac</w:t>
            </w:r>
            <w:r w:rsidR="00394B50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ę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pisemn</w:t>
            </w:r>
            <w:r w:rsidR="00394B50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ą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w języku </w:t>
            </w:r>
            <w:r w:rsidR="00AA0656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francuskim 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z wykorzystaniem podstawowych ujęć teoretycznych</w:t>
            </w:r>
            <w:r w:rsidR="004210D7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="00394B50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przygotowuje</w:t>
            </w:r>
            <w:r w:rsidR="004210D7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wystąpienia ustne</w:t>
            </w:r>
            <w:r w:rsidR="004D76D3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w </w:t>
            </w:r>
            <w:r w:rsidR="00AA0656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francuskim</w:t>
            </w:r>
            <w:r w:rsidR="00560225" w:rsidRPr="0016436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.</w:t>
            </w:r>
          </w:p>
          <w:p w:rsidR="00303F50" w:rsidRPr="00164367" w:rsidRDefault="00303F50" w:rsidP="004210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3F50" w:rsidRPr="00164367" w:rsidRDefault="00F25EEA" w:rsidP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K1_U</w:t>
            </w:r>
            <w:r w:rsidR="00213E8D" w:rsidRPr="00164367">
              <w:rPr>
                <w:rFonts w:ascii="Arial" w:hAnsi="Arial" w:cs="Arial"/>
                <w:sz w:val="20"/>
                <w:szCs w:val="20"/>
              </w:rPr>
              <w:t>0</w:t>
            </w:r>
            <w:r w:rsidR="004F0DD6" w:rsidRPr="00164367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 w:rsidP="00F25E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303F50" w:rsidRPr="0016436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A7E0B" w:rsidRPr="00164367">
              <w:rPr>
                <w:rFonts w:ascii="Arial" w:hAnsi="Arial" w:cs="Arial"/>
                <w:sz w:val="20"/>
                <w:szCs w:val="20"/>
              </w:rPr>
              <w:t>kształcenia</w:t>
            </w:r>
            <w:r w:rsidRPr="0016436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164367">
        <w:trPr>
          <w:cantSplit/>
          <w:trHeight w:val="1984"/>
        </w:trPr>
        <w:tc>
          <w:tcPr>
            <w:tcW w:w="1985" w:type="dxa"/>
            <w:vMerge/>
          </w:tcPr>
          <w:p w:rsidR="00303F50" w:rsidRPr="0016436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RPr="00164367" w:rsidRDefault="00982392" w:rsidP="00213E8D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K01</w:t>
            </w:r>
            <w:r w:rsidR="00C77885" w:rsidRPr="0016436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64367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 tłumacza.</w:t>
            </w:r>
          </w:p>
          <w:p w:rsidR="00213E8D" w:rsidRPr="00164367" w:rsidRDefault="00213E8D" w:rsidP="00213E8D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213E8D" w:rsidRPr="00164367" w:rsidRDefault="00213E8D" w:rsidP="00213E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4B50" w:rsidRPr="00164367" w:rsidRDefault="00982392">
            <w:pPr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213E8D" w:rsidRPr="00164367" w:rsidRDefault="00213E8D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B50" w:rsidRPr="00164367" w:rsidRDefault="00394B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16436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16436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16436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16436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98239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164367">
        <w:trPr>
          <w:trHeight w:val="462"/>
        </w:trPr>
        <w:tc>
          <w:tcPr>
            <w:tcW w:w="1611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4"/>
        </w:rPr>
      </w:pPr>
      <w:r w:rsidRPr="00164367">
        <w:rPr>
          <w:rFonts w:ascii="Arial" w:hAnsi="Arial" w:cs="Arial"/>
          <w:sz w:val="22"/>
          <w:szCs w:val="14"/>
        </w:rPr>
        <w:t>Opis metod prowadzenia zajęć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RPr="00164367" w:rsidTr="00164367">
        <w:trPr>
          <w:trHeight w:val="1146"/>
        </w:trPr>
        <w:tc>
          <w:tcPr>
            <w:tcW w:w="9622" w:type="dxa"/>
          </w:tcPr>
          <w:p w:rsidR="00DD3CBD" w:rsidRPr="00164367" w:rsidRDefault="00DD3CBD" w:rsidP="00DD3CBD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Metoda komunikacyjna oraz zadaniowa </w:t>
            </w:r>
          </w:p>
          <w:p w:rsidR="00DD3CBD" w:rsidRPr="00164367" w:rsidRDefault="00DD3CBD" w:rsidP="00DD3CBD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Metody podające, eksponujące, problemowe, aktywizujące</w:t>
            </w:r>
          </w:p>
          <w:p w:rsidR="00DD3CBD" w:rsidRPr="00164367" w:rsidRDefault="00DD3CBD" w:rsidP="00DD3CBD">
            <w:pPr>
              <w:suppressLineNumbers/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DD3CBD" w:rsidRPr="00164367" w:rsidRDefault="00DD3CBD" w:rsidP="00DD3CBD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Metody wspierające autonomiczne uczenie się</w:t>
            </w:r>
          </w:p>
          <w:p w:rsidR="00DD3CBD" w:rsidRPr="00164367" w:rsidRDefault="00DD3CBD" w:rsidP="00E729C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164367" w:rsidRPr="00164367" w:rsidRDefault="0016436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  <w:r w:rsidRPr="00164367"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16436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64367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16436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164367" w:rsidRDefault="00421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94B50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94B50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C77885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7885" w:rsidRPr="00164367" w:rsidRDefault="004210D7" w:rsidP="00C778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16436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16436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C77885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7885" w:rsidRPr="00164367" w:rsidRDefault="004210D7" w:rsidP="00C778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560225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7885" w:rsidRPr="00164367" w:rsidRDefault="00DD3CBD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77885" w:rsidRPr="00164367" w:rsidRDefault="00C77885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1643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164367" w:rsidRDefault="00421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55552C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55552C">
            <w:pPr>
              <w:rPr>
                <w:rFonts w:ascii="Arial" w:hAnsi="Arial" w:cs="Arial"/>
                <w:sz w:val="22"/>
              </w:rPr>
            </w:pPr>
            <w:r w:rsidRPr="0016436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164367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303F50" w:rsidRPr="00164367"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164367" w:rsidRDefault="00DD3CB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>Warunkiem otrzymania zaliczenia</w:t>
            </w:r>
            <w:r w:rsidR="00E729C2" w:rsidRPr="00164367">
              <w:rPr>
                <w:rFonts w:ascii="Arial" w:hAnsi="Arial" w:cs="Arial"/>
                <w:sz w:val="22"/>
                <w:szCs w:val="16"/>
              </w:rPr>
              <w:t xml:space="preserve"> w piątym semestrze</w:t>
            </w:r>
            <w:r w:rsidRPr="00164367">
              <w:rPr>
                <w:rFonts w:ascii="Arial" w:hAnsi="Arial" w:cs="Arial"/>
                <w:sz w:val="22"/>
                <w:szCs w:val="16"/>
              </w:rPr>
              <w:t xml:space="preserve"> jest</w:t>
            </w:r>
            <w:r w:rsidR="00B82420" w:rsidRPr="00164367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B747C" w:rsidRPr="00164367">
              <w:rPr>
                <w:rFonts w:ascii="Arial" w:hAnsi="Arial" w:cs="Arial"/>
                <w:sz w:val="22"/>
                <w:szCs w:val="16"/>
              </w:rPr>
              <w:t xml:space="preserve">regularne uczestnictwo w zajęciach oraz terminowe oddawanie fragmentów tekstu </w:t>
            </w:r>
            <w:r w:rsidR="00B82420" w:rsidRPr="00164367">
              <w:rPr>
                <w:rFonts w:ascii="Arial" w:hAnsi="Arial" w:cs="Arial"/>
                <w:sz w:val="22"/>
                <w:szCs w:val="16"/>
              </w:rPr>
              <w:t>pracy dyplomowej do sprawdzenia: przedstawienie konspektu pracy, bibliografii</w:t>
            </w:r>
            <w:r w:rsidRPr="00164367">
              <w:rPr>
                <w:rFonts w:ascii="Arial" w:hAnsi="Arial" w:cs="Arial"/>
                <w:sz w:val="22"/>
                <w:szCs w:val="16"/>
              </w:rPr>
              <w:t>, glosariusza</w:t>
            </w:r>
            <w:r w:rsidR="00B82420" w:rsidRPr="00164367">
              <w:rPr>
                <w:rFonts w:ascii="Arial" w:hAnsi="Arial" w:cs="Arial"/>
                <w:sz w:val="22"/>
                <w:szCs w:val="16"/>
              </w:rPr>
              <w:t xml:space="preserve"> i jednego rozdziału.</w:t>
            </w:r>
          </w:p>
          <w:p w:rsidR="00303F50" w:rsidRPr="00164367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Pr="00164367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303F50" w:rsidRPr="0016436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164367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367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Pr="00164367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E729C2" w:rsidRPr="00164367" w:rsidRDefault="00E729C2" w:rsidP="00E729C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164367">
              <w:rPr>
                <w:rFonts w:ascii="Arial" w:hAnsi="Arial" w:cs="Arial"/>
                <w:sz w:val="22"/>
                <w:szCs w:val="16"/>
              </w:rPr>
              <w:t>Zajęcia mogą być prowadzone w formie zdalnej.</w:t>
            </w:r>
          </w:p>
          <w:p w:rsidR="00303F50" w:rsidRPr="00164367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22"/>
        </w:rPr>
      </w:pPr>
      <w:r w:rsidRPr="00164367">
        <w:rPr>
          <w:rFonts w:ascii="Arial" w:hAnsi="Arial" w:cs="Arial"/>
          <w:sz w:val="22"/>
          <w:szCs w:val="22"/>
        </w:rPr>
        <w:t>Tre</w:t>
      </w:r>
      <w:r w:rsidR="00142C64" w:rsidRPr="00164367">
        <w:rPr>
          <w:rFonts w:ascii="Arial" w:hAnsi="Arial" w:cs="Arial"/>
          <w:sz w:val="22"/>
          <w:szCs w:val="22"/>
        </w:rPr>
        <w:t>ści merytoryczne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RPr="00164367" w:rsidTr="00982392">
        <w:trPr>
          <w:trHeight w:val="1338"/>
        </w:trPr>
        <w:tc>
          <w:tcPr>
            <w:tcW w:w="9622" w:type="dxa"/>
          </w:tcPr>
          <w:p w:rsidR="00931AEA" w:rsidRPr="00400D4F" w:rsidRDefault="00931AEA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Metodologia przygotowywania pracy licencjackiej.</w:t>
            </w:r>
          </w:p>
          <w:p w:rsidR="00931AEA" w:rsidRPr="00400D4F" w:rsidRDefault="00931AEA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Źródła i ich wiarygodność.</w:t>
            </w:r>
          </w:p>
          <w:p w:rsidR="00931AEA" w:rsidRPr="00400D4F" w:rsidRDefault="00931AEA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Normy typograficzne i bibliograficzne oraz zasady sporządzania przypisów.</w:t>
            </w:r>
          </w:p>
          <w:p w:rsidR="005B7A56" w:rsidRPr="00400D4F" w:rsidRDefault="005B7A56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Omówienie podstawowych teorii tłumaczeń</w:t>
            </w:r>
          </w:p>
          <w:p w:rsidR="005B7A56" w:rsidRPr="00400D4F" w:rsidRDefault="005B7A56" w:rsidP="00931AE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Wspólne opracowanie części teoretycznej pracy</w:t>
            </w:r>
          </w:p>
          <w:p w:rsidR="00DD3CBD" w:rsidRPr="00400D4F" w:rsidRDefault="005B7A56" w:rsidP="00931AEA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Arial" w:hAnsi="Arial" w:cs="Arial"/>
                <w:lang w:val="pl-PL"/>
              </w:rPr>
            </w:pPr>
            <w:r w:rsidRPr="00400D4F">
              <w:rPr>
                <w:rFonts w:ascii="Arial" w:hAnsi="Arial" w:cs="Arial"/>
                <w:lang w:val="pl-PL"/>
              </w:rPr>
              <w:t>Indywidualna a</w:t>
            </w:r>
            <w:r w:rsidR="00DD3CBD" w:rsidRPr="00400D4F">
              <w:rPr>
                <w:rFonts w:ascii="Arial" w:hAnsi="Arial" w:cs="Arial"/>
                <w:lang w:val="pl-PL"/>
              </w:rPr>
              <w:t xml:space="preserve">naliza tekstów z polskich przewodników turystycznych wraz z ich francuskojęzycznymi odpowiednikami. </w:t>
            </w:r>
          </w:p>
          <w:p w:rsidR="005B7A56" w:rsidRPr="00400D4F" w:rsidRDefault="00DD3CBD" w:rsidP="00931AEA">
            <w:pPr>
              <w:ind w:left="781"/>
              <w:rPr>
                <w:rFonts w:ascii="Arial" w:hAnsi="Arial" w:cs="Arial"/>
                <w:sz w:val="22"/>
                <w:szCs w:val="22"/>
              </w:rPr>
            </w:pPr>
            <w:r w:rsidRPr="00400D4F">
              <w:rPr>
                <w:rFonts w:ascii="Arial" w:hAnsi="Arial" w:cs="Arial"/>
                <w:sz w:val="22"/>
                <w:szCs w:val="22"/>
              </w:rPr>
              <w:t xml:space="preserve">1) dobór odpowiedniego korpusu (znalezienie przewodnika po wybranym miejscu w Polsce wraz z francuską wersją tego samego przewodnika) </w:t>
            </w:r>
          </w:p>
          <w:p w:rsidR="005B7A56" w:rsidRPr="00400D4F" w:rsidRDefault="00DD3CBD" w:rsidP="00931AEA">
            <w:pPr>
              <w:ind w:left="781"/>
              <w:rPr>
                <w:rFonts w:ascii="Arial" w:hAnsi="Arial" w:cs="Arial"/>
                <w:sz w:val="22"/>
                <w:szCs w:val="22"/>
              </w:rPr>
            </w:pPr>
            <w:r w:rsidRPr="00400D4F">
              <w:rPr>
                <w:rFonts w:ascii="Arial" w:hAnsi="Arial" w:cs="Arial"/>
                <w:sz w:val="22"/>
                <w:szCs w:val="22"/>
              </w:rPr>
              <w:t xml:space="preserve">2) dokonanie analizy  tłumaczenia (specyfika tłumaczenia, charakterystyczne wybory translatorskie), </w:t>
            </w:r>
          </w:p>
          <w:p w:rsidR="00DD3CBD" w:rsidRPr="00400D4F" w:rsidRDefault="00DD3CBD" w:rsidP="00931AEA">
            <w:pPr>
              <w:ind w:left="781"/>
              <w:rPr>
                <w:rFonts w:ascii="Arial" w:hAnsi="Arial" w:cs="Arial"/>
                <w:sz w:val="22"/>
                <w:szCs w:val="22"/>
              </w:rPr>
            </w:pPr>
            <w:r w:rsidRPr="00400D4F">
              <w:rPr>
                <w:rFonts w:ascii="Arial" w:hAnsi="Arial" w:cs="Arial"/>
                <w:sz w:val="22"/>
                <w:szCs w:val="22"/>
              </w:rPr>
              <w:t xml:space="preserve">3) sporządzenie glosariusza </w:t>
            </w:r>
            <w:proofErr w:type="spellStart"/>
            <w:r w:rsidRPr="00400D4F">
              <w:rPr>
                <w:rFonts w:ascii="Arial" w:hAnsi="Arial" w:cs="Arial"/>
                <w:sz w:val="22"/>
                <w:szCs w:val="22"/>
              </w:rPr>
              <w:t>FR-PL</w:t>
            </w:r>
            <w:proofErr w:type="spellEnd"/>
            <w:r w:rsidRPr="00400D4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400D4F">
              <w:rPr>
                <w:rFonts w:ascii="Arial" w:hAnsi="Arial" w:cs="Arial"/>
                <w:sz w:val="22"/>
                <w:szCs w:val="22"/>
              </w:rPr>
              <w:t>PL-FR</w:t>
            </w:r>
            <w:proofErr w:type="spellEnd"/>
            <w:r w:rsidRPr="00400D4F">
              <w:rPr>
                <w:rFonts w:ascii="Arial" w:hAnsi="Arial" w:cs="Arial"/>
                <w:sz w:val="22"/>
                <w:szCs w:val="22"/>
              </w:rPr>
              <w:t xml:space="preserve"> zawierającego najważniejsze pojęcia z wybranego tematu.</w:t>
            </w:r>
          </w:p>
          <w:p w:rsidR="00B258E5" w:rsidRPr="00164367" w:rsidRDefault="00B258E5" w:rsidP="00657C11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22"/>
        </w:rPr>
      </w:pPr>
    </w:p>
    <w:p w:rsidR="00303F50" w:rsidRPr="00164367" w:rsidRDefault="00303F50">
      <w:pPr>
        <w:rPr>
          <w:rFonts w:ascii="Arial" w:hAnsi="Arial" w:cs="Arial"/>
          <w:sz w:val="22"/>
          <w:szCs w:val="22"/>
        </w:rPr>
      </w:pPr>
    </w:p>
    <w:p w:rsidR="00D32FBE" w:rsidRPr="00164367" w:rsidRDefault="00D32FBE">
      <w:pPr>
        <w:rPr>
          <w:rFonts w:ascii="Arial" w:hAnsi="Arial" w:cs="Arial"/>
          <w:sz w:val="22"/>
          <w:szCs w:val="22"/>
        </w:rPr>
      </w:pPr>
    </w:p>
    <w:p w:rsidR="00D32FBE" w:rsidRPr="00164367" w:rsidRDefault="00D32FBE">
      <w:pPr>
        <w:rPr>
          <w:rFonts w:ascii="Arial" w:hAnsi="Arial" w:cs="Arial"/>
          <w:sz w:val="22"/>
          <w:szCs w:val="22"/>
        </w:rPr>
      </w:pPr>
    </w:p>
    <w:p w:rsidR="00D32FBE" w:rsidRPr="00164367" w:rsidRDefault="00D32FBE">
      <w:pPr>
        <w:rPr>
          <w:rFonts w:ascii="Arial" w:hAnsi="Arial" w:cs="Arial"/>
          <w:sz w:val="22"/>
          <w:szCs w:val="22"/>
        </w:rPr>
      </w:pPr>
    </w:p>
    <w:p w:rsidR="00303F50" w:rsidRPr="00164367" w:rsidRDefault="002C7FBF">
      <w:pPr>
        <w:rPr>
          <w:rFonts w:ascii="Arial" w:hAnsi="Arial" w:cs="Arial"/>
          <w:sz w:val="22"/>
          <w:szCs w:val="22"/>
        </w:rPr>
      </w:pPr>
      <w:r w:rsidRPr="00164367">
        <w:rPr>
          <w:rFonts w:ascii="Arial" w:hAnsi="Arial" w:cs="Arial"/>
          <w:sz w:val="22"/>
          <w:szCs w:val="22"/>
        </w:rPr>
        <w:lastRenderedPageBreak/>
        <w:t>Wykaz literatury</w:t>
      </w:r>
    </w:p>
    <w:p w:rsidR="00303F50" w:rsidRPr="0016436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498"/>
      </w:tblGrid>
      <w:tr w:rsidR="00303F50" w:rsidRPr="00164367">
        <w:trPr>
          <w:trHeight w:val="1098"/>
        </w:trPr>
        <w:tc>
          <w:tcPr>
            <w:tcW w:w="9498" w:type="dxa"/>
          </w:tcPr>
          <w:p w:rsidR="009133DB" w:rsidRPr="00164367" w:rsidRDefault="002C7FBF" w:rsidP="00510DD9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lang w:val="pl-PL" w:eastAsia="pl-PL"/>
              </w:rPr>
            </w:pPr>
            <w:r w:rsidRPr="00164367">
              <w:rPr>
                <w:rFonts w:ascii="Arial" w:eastAsia="Times New Roman" w:hAnsi="Arial" w:cs="Arial"/>
                <w:color w:val="000000"/>
                <w:lang w:val="pl-PL" w:eastAsia="pl-PL"/>
              </w:rPr>
              <w:t xml:space="preserve">Redakcja </w:t>
            </w:r>
            <w:r w:rsidR="009133DB" w:rsidRPr="00164367">
              <w:rPr>
                <w:rFonts w:ascii="Arial" w:eastAsia="Times New Roman" w:hAnsi="Arial" w:cs="Arial"/>
                <w:color w:val="000000"/>
                <w:lang w:val="pl-PL" w:eastAsia="pl-PL"/>
              </w:rPr>
              <w:t>p</w:t>
            </w:r>
            <w:r w:rsidRPr="00164367">
              <w:rPr>
                <w:rFonts w:ascii="Arial" w:eastAsia="Times New Roman" w:hAnsi="Arial" w:cs="Arial"/>
                <w:color w:val="000000"/>
                <w:lang w:val="pl-PL" w:eastAsia="pl-PL"/>
              </w:rPr>
              <w:t>racy dyplomowe</w:t>
            </w:r>
            <w:r w:rsidR="009133DB" w:rsidRPr="00164367">
              <w:rPr>
                <w:rFonts w:ascii="Arial" w:eastAsia="Times New Roman" w:hAnsi="Arial" w:cs="Arial"/>
                <w:color w:val="000000"/>
                <w:lang w:val="pl-PL" w:eastAsia="pl-PL"/>
              </w:rPr>
              <w:t>j</w:t>
            </w:r>
          </w:p>
          <w:p w:rsidR="00BC65DB" w:rsidRPr="00164367" w:rsidRDefault="00BC65DB" w:rsidP="00510DD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164367">
              <w:rPr>
                <w:rFonts w:ascii="Arial" w:hAnsi="Arial" w:cs="Arial"/>
                <w:color w:val="000000"/>
              </w:rPr>
              <w:t>Gambarelli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G</w:t>
            </w:r>
            <w:r w:rsidR="00510DD9" w:rsidRPr="00164367">
              <w:rPr>
                <w:rFonts w:ascii="Arial" w:hAnsi="Arial" w:cs="Arial"/>
                <w:color w:val="000000"/>
              </w:rPr>
              <w:t>.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Łucki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Z</w:t>
            </w:r>
            <w:r w:rsidR="00510DD9" w:rsidRPr="00164367">
              <w:rPr>
                <w:rFonts w:ascii="Arial" w:hAnsi="Arial" w:cs="Arial"/>
                <w:color w:val="000000"/>
              </w:rPr>
              <w:t>. (2007)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Jak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przygotować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pracę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dyplomową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lub doktorską.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Wybór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tematu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pisanie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prezentowanie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publikowanie</w:t>
            </w:r>
            <w:proofErr w:type="spellEnd"/>
            <w:r w:rsidR="00510DD9" w:rsidRPr="00164367">
              <w:rPr>
                <w:rFonts w:ascii="Arial" w:hAnsi="Arial" w:cs="Arial"/>
                <w:color w:val="000000"/>
              </w:rPr>
              <w:t>.</w:t>
            </w:r>
            <w:r w:rsidRPr="0016436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Kraków</w:t>
            </w:r>
            <w:proofErr w:type="spellEnd"/>
            <w:r w:rsidR="00510DD9" w:rsidRPr="00164367">
              <w:rPr>
                <w:rFonts w:ascii="Arial" w:hAnsi="Arial" w:cs="Arial"/>
                <w:color w:val="000000"/>
              </w:rPr>
              <w:t xml:space="preserve"> : </w:t>
            </w:r>
            <w:proofErr w:type="spellStart"/>
            <w:r w:rsidR="00510DD9" w:rsidRPr="00164367">
              <w:rPr>
                <w:rFonts w:ascii="Arial" w:hAnsi="Arial" w:cs="Arial"/>
                <w:color w:val="000000"/>
              </w:rPr>
              <w:t>Univeristas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>.</w:t>
            </w:r>
          </w:p>
          <w:p w:rsidR="00B4744E" w:rsidRPr="00164367" w:rsidRDefault="00B4744E" w:rsidP="00510DD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lang w:val="pl-PL"/>
              </w:rPr>
            </w:pPr>
            <w:proofErr w:type="spellStart"/>
            <w:r w:rsidRPr="00164367">
              <w:rPr>
                <w:rFonts w:ascii="Arial" w:hAnsi="Arial" w:cs="Arial"/>
                <w:color w:val="000000"/>
              </w:rPr>
              <w:t>Wołowska</w:t>
            </w:r>
            <w:proofErr w:type="spellEnd"/>
            <w:r w:rsidR="00510DD9" w:rsidRPr="00164367">
              <w:rPr>
                <w:rFonts w:ascii="Arial" w:hAnsi="Arial" w:cs="Arial"/>
                <w:color w:val="000000"/>
              </w:rPr>
              <w:t xml:space="preserve"> K.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Wołowski</w:t>
            </w:r>
            <w:proofErr w:type="spellEnd"/>
            <w:r w:rsidR="00510DD9" w:rsidRPr="00164367">
              <w:rPr>
                <w:rFonts w:ascii="Arial" w:hAnsi="Arial" w:cs="Arial"/>
                <w:color w:val="000000"/>
              </w:rPr>
              <w:t xml:space="preserve"> K. (2015)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r w:rsidRPr="00164367">
              <w:rPr>
                <w:rFonts w:ascii="Arial" w:hAnsi="Arial" w:cs="Arial"/>
                <w:i/>
                <w:color w:val="000000"/>
              </w:rPr>
              <w:t>Organisation du discours de recherche. Dictionnaire des expressions usuelles pour rédiger des travaux de recherche en sciences humaines (polonais-français)</w:t>
            </w:r>
            <w:r w:rsidRPr="00164367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Organizacja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dyskursu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naukowego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. </w:t>
            </w:r>
            <w:r w:rsidRPr="00164367">
              <w:rPr>
                <w:rFonts w:ascii="Arial" w:hAnsi="Arial" w:cs="Arial"/>
                <w:i/>
                <w:color w:val="000000"/>
                <w:lang w:val="pl-PL"/>
              </w:rPr>
              <w:t>Polsko-francuski słownik wyrażeń używanych do pisania prac naukowych w dziedzinach humanistycznych</w:t>
            </w:r>
            <w:r w:rsidRPr="00164367">
              <w:rPr>
                <w:rFonts w:ascii="Arial" w:hAnsi="Arial" w:cs="Arial"/>
                <w:color w:val="000000"/>
                <w:lang w:val="pl-PL"/>
              </w:rPr>
              <w:t>)</w:t>
            </w:r>
            <w:r w:rsidR="00510DD9" w:rsidRPr="00164367">
              <w:rPr>
                <w:rFonts w:ascii="Arial" w:hAnsi="Arial" w:cs="Arial"/>
                <w:color w:val="000000"/>
                <w:lang w:val="pl-PL"/>
              </w:rPr>
              <w:t>. Lublin: Wydawnictwo KUL</w:t>
            </w:r>
            <w:r w:rsidRPr="00164367">
              <w:rPr>
                <w:rFonts w:ascii="Arial" w:hAnsi="Arial" w:cs="Arial"/>
                <w:color w:val="000000"/>
                <w:lang w:val="pl-PL"/>
              </w:rPr>
              <w:t>.</w:t>
            </w:r>
          </w:p>
          <w:p w:rsidR="00BC65DB" w:rsidRPr="00164367" w:rsidRDefault="00BC65DB" w:rsidP="00510DD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164367">
              <w:rPr>
                <w:rFonts w:ascii="Arial" w:hAnsi="Arial" w:cs="Arial"/>
              </w:rPr>
              <w:t>Eco U</w:t>
            </w:r>
            <w:r w:rsidR="00510DD9" w:rsidRPr="00164367">
              <w:rPr>
                <w:rFonts w:ascii="Arial" w:hAnsi="Arial" w:cs="Arial"/>
              </w:rPr>
              <w:t>. (2007)</w:t>
            </w:r>
            <w:r w:rsidRPr="00164367">
              <w:rPr>
                <w:rFonts w:ascii="Arial" w:hAnsi="Arial" w:cs="Arial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</w:rPr>
              <w:t>Jak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napisać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pracę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dyplomową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. </w:t>
            </w:r>
            <w:proofErr w:type="spellStart"/>
            <w:r w:rsidRPr="00164367">
              <w:rPr>
                <w:rFonts w:ascii="Arial" w:hAnsi="Arial" w:cs="Arial"/>
                <w:i/>
              </w:rPr>
              <w:t>Poradnik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dla</w:t>
            </w:r>
            <w:proofErr w:type="spellEnd"/>
            <w:r w:rsidRPr="0016436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</w:rPr>
              <w:t>humanistów</w:t>
            </w:r>
            <w:proofErr w:type="spellEnd"/>
            <w:r w:rsidR="00510DD9" w:rsidRPr="00164367">
              <w:rPr>
                <w:rFonts w:ascii="Arial" w:hAnsi="Arial" w:cs="Arial"/>
              </w:rPr>
              <w:t xml:space="preserve">. Warszawa : </w:t>
            </w:r>
            <w:proofErr w:type="spellStart"/>
            <w:r w:rsidRPr="00164367">
              <w:rPr>
                <w:rFonts w:ascii="Arial" w:hAnsi="Arial" w:cs="Arial"/>
              </w:rPr>
              <w:t>Wydawnictwo</w:t>
            </w:r>
            <w:proofErr w:type="spellEnd"/>
            <w:r w:rsidRPr="00164367">
              <w:rPr>
                <w:rFonts w:ascii="Arial" w:hAnsi="Arial" w:cs="Arial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</w:rPr>
              <w:t>Uniwersytetu</w:t>
            </w:r>
            <w:proofErr w:type="spellEnd"/>
            <w:r w:rsidRPr="00164367">
              <w:rPr>
                <w:rFonts w:ascii="Arial" w:hAnsi="Arial" w:cs="Arial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</w:rPr>
              <w:t>Warszawskiego</w:t>
            </w:r>
            <w:proofErr w:type="spellEnd"/>
            <w:r w:rsidRPr="00164367">
              <w:rPr>
                <w:rFonts w:ascii="Arial" w:hAnsi="Arial" w:cs="Arial"/>
              </w:rPr>
              <w:t>.</w:t>
            </w:r>
          </w:p>
          <w:p w:rsidR="00503F1B" w:rsidRPr="00164367" w:rsidRDefault="00BC65DB" w:rsidP="00510DD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164367">
              <w:rPr>
                <w:rFonts w:ascii="Arial" w:hAnsi="Arial" w:cs="Arial"/>
                <w:color w:val="000000"/>
              </w:rPr>
              <w:t>Kaczmarek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T</w:t>
            </w:r>
            <w:r w:rsidR="00510DD9" w:rsidRPr="00164367">
              <w:rPr>
                <w:rFonts w:ascii="Arial" w:hAnsi="Arial" w:cs="Arial"/>
                <w:color w:val="000000"/>
              </w:rPr>
              <w:t> . (2005)</w:t>
            </w:r>
            <w:r w:rsidRPr="0016436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Poradnik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dla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studentów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piszących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pracę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licencjacką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lub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magisterską</w:t>
            </w:r>
            <w:proofErr w:type="spellEnd"/>
            <w:r w:rsidR="005B7A56" w:rsidRPr="00164367">
              <w:rPr>
                <w:rFonts w:ascii="Arial" w:hAnsi="Arial" w:cs="Arial"/>
                <w:color w:val="000000"/>
              </w:rPr>
              <w:t>.</w:t>
            </w:r>
            <w:r w:rsidRPr="00164367">
              <w:rPr>
                <w:rFonts w:ascii="Arial" w:hAnsi="Arial" w:cs="Arial"/>
                <w:color w:val="000000"/>
              </w:rPr>
              <w:t xml:space="preserve"> Warszawa </w:t>
            </w:r>
            <w:r w:rsidR="005B7A56" w:rsidRPr="00164367">
              <w:rPr>
                <w:rFonts w:ascii="Arial" w:hAnsi="Arial" w:cs="Arial"/>
                <w:color w:val="000000"/>
              </w:rPr>
              <w:t>https://pdfslide.tips/documents/poradnik-dla-studentow-piszacych-prace-licencjacka-lub-magisterskapdf.html?page=2</w:t>
            </w:r>
          </w:p>
          <w:p w:rsidR="00EC630A" w:rsidRPr="00164367" w:rsidRDefault="002C7FBF" w:rsidP="00510D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0000"/>
                <w:lang w:val="pl-PL"/>
              </w:rPr>
            </w:pPr>
            <w:r w:rsidRPr="00164367">
              <w:rPr>
                <w:rFonts w:ascii="Arial" w:hAnsi="Arial" w:cs="Arial"/>
                <w:color w:val="000000"/>
                <w:lang w:val="pl-PL"/>
              </w:rPr>
              <w:t xml:space="preserve">Teoria </w:t>
            </w:r>
            <w:r w:rsidR="00982392" w:rsidRPr="00164367">
              <w:rPr>
                <w:rFonts w:ascii="Arial" w:hAnsi="Arial" w:cs="Arial"/>
                <w:color w:val="000000"/>
                <w:lang w:val="pl-PL"/>
              </w:rPr>
              <w:t>tłumaczenia: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164367">
              <w:rPr>
                <w:rFonts w:ascii="Arial" w:hAnsi="Arial" w:cs="Arial"/>
                <w:lang w:val="fr-FR"/>
              </w:rPr>
              <w:t xml:space="preserve">Delisle, J. (1984). </w:t>
            </w:r>
            <w:r w:rsidRPr="00164367">
              <w:rPr>
                <w:rFonts w:ascii="Arial" w:hAnsi="Arial" w:cs="Arial"/>
                <w:i/>
                <w:lang w:val="fr-FR"/>
              </w:rPr>
              <w:t>L’analyse du discours comme méthode de traduction</w:t>
            </w:r>
            <w:r w:rsidRPr="00164367">
              <w:rPr>
                <w:rFonts w:ascii="Arial" w:hAnsi="Arial" w:cs="Arial"/>
                <w:lang w:val="fr-FR"/>
              </w:rPr>
              <w:t>. Ottawa : Éditions de l’Université d’Ottawa.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164367">
              <w:rPr>
                <w:rFonts w:ascii="Arial" w:hAnsi="Arial" w:cs="Arial"/>
                <w:lang w:val="fr-FR"/>
              </w:rPr>
              <w:t xml:space="preserve">Delisle, J. (2013). </w:t>
            </w:r>
            <w:r w:rsidRPr="00164367">
              <w:rPr>
                <w:rFonts w:ascii="Arial" w:hAnsi="Arial" w:cs="Arial"/>
                <w:i/>
                <w:lang w:val="fr-FR"/>
              </w:rPr>
              <w:t>La traduction raisonnée</w:t>
            </w:r>
            <w:r w:rsidRPr="00164367">
              <w:rPr>
                <w:rFonts w:ascii="Arial" w:hAnsi="Arial" w:cs="Arial"/>
                <w:lang w:val="fr-FR"/>
              </w:rPr>
              <w:t>. Ottawa : Les Presses de l’Université d’Ottawa.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iCs/>
                <w:lang w:val="fr-FR"/>
              </w:rPr>
            </w:pPr>
            <w:r w:rsidRPr="00164367">
              <w:rPr>
                <w:rFonts w:ascii="Arial" w:hAnsi="Arial" w:cs="Arial"/>
                <w:iCs/>
                <w:lang w:val="fr-FR"/>
              </w:rPr>
              <w:t>Jakobson, R. (1963).</w:t>
            </w:r>
            <w:r w:rsidRPr="00164367">
              <w:rPr>
                <w:rFonts w:ascii="Arial" w:hAnsi="Arial" w:cs="Arial"/>
                <w:i/>
                <w:iCs/>
                <w:lang w:val="fr-FR"/>
              </w:rPr>
              <w:t xml:space="preserve"> Essais de linguistique générale. </w:t>
            </w:r>
            <w:r w:rsidRPr="00164367">
              <w:rPr>
                <w:rFonts w:ascii="Arial" w:hAnsi="Arial" w:cs="Arial"/>
                <w:iCs/>
                <w:lang w:val="fr-FR"/>
              </w:rPr>
              <w:t>Paris : Éditions de Minuit.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lang w:val="fr-FR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Ladmiral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, J.-R. (2010). « La traduction, phénomène interculturel et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psychorelationnel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 ». </w:t>
            </w:r>
            <w:r w:rsidRPr="00164367">
              <w:rPr>
                <w:rFonts w:ascii="Arial" w:hAnsi="Arial" w:cs="Arial"/>
                <w:i/>
                <w:lang w:val="fr-FR"/>
              </w:rPr>
              <w:t>Meta</w:t>
            </w:r>
            <w:r w:rsidRPr="00164367">
              <w:rPr>
                <w:rFonts w:ascii="Arial" w:hAnsi="Arial" w:cs="Arial"/>
                <w:lang w:val="fr-FR"/>
              </w:rPr>
              <w:t xml:space="preserve">, </w:t>
            </w:r>
            <w:r w:rsidRPr="00164367">
              <w:rPr>
                <w:rFonts w:ascii="Arial" w:hAnsi="Arial" w:cs="Arial"/>
              </w:rPr>
              <w:t>n</w:t>
            </w:r>
            <w:r w:rsidRPr="00164367">
              <w:rPr>
                <w:rFonts w:ascii="Arial" w:hAnsi="Arial" w:cs="Arial"/>
                <w:vertAlign w:val="superscript"/>
              </w:rPr>
              <w:t>o</w:t>
            </w:r>
            <w:r w:rsidRPr="00164367">
              <w:rPr>
                <w:rFonts w:ascii="Arial" w:hAnsi="Arial" w:cs="Arial"/>
                <w:lang w:val="fr-FR"/>
              </w:rPr>
              <w:t xml:space="preserve"> LV, 4, p. 626-641.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164367">
              <w:rPr>
                <w:rFonts w:ascii="Arial" w:hAnsi="Arial" w:cs="Arial"/>
                <w:iCs/>
                <w:lang w:val="fr-FR"/>
              </w:rPr>
              <w:t>Medhat-Lecocq</w:t>
            </w:r>
            <w:r w:rsidRPr="00164367">
              <w:rPr>
                <w:rFonts w:ascii="Arial" w:hAnsi="Arial" w:cs="Arial"/>
                <w:lang w:val="fr-FR"/>
              </w:rPr>
              <w:t>, H. (2016). « </w:t>
            </w:r>
            <w:r w:rsidRPr="00164367">
              <w:rPr>
                <w:rFonts w:ascii="Arial" w:hAnsi="Arial" w:cs="Arial"/>
                <w:iCs/>
                <w:lang w:val="fr-FR"/>
              </w:rPr>
              <w:t xml:space="preserve">Enseigner/apprendre la traduction dans tous ses états ». </w:t>
            </w:r>
            <w:r w:rsidRPr="00164367">
              <w:rPr>
                <w:rFonts w:ascii="Arial" w:hAnsi="Arial" w:cs="Arial"/>
                <w:lang w:val="fr-FR"/>
              </w:rPr>
              <w:t xml:space="preserve">H. Medhat-Lecocq, D.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Negga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&amp; T.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Szende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(éd.), </w:t>
            </w:r>
            <w:r w:rsidRPr="00164367">
              <w:rPr>
                <w:rFonts w:ascii="Arial" w:hAnsi="Arial" w:cs="Arial"/>
                <w:i/>
                <w:lang w:val="fr-FR"/>
              </w:rPr>
              <w:t xml:space="preserve">Traduction et apprentissage des langues. Entre médiation et </w:t>
            </w:r>
            <w:proofErr w:type="spellStart"/>
            <w:r w:rsidRPr="00164367">
              <w:rPr>
                <w:rFonts w:ascii="Arial" w:hAnsi="Arial" w:cs="Arial"/>
                <w:i/>
                <w:lang w:val="fr-FR"/>
              </w:rPr>
              <w:t>remédiation</w:t>
            </w:r>
            <w:proofErr w:type="spellEnd"/>
            <w:r w:rsidRPr="00164367">
              <w:rPr>
                <w:rFonts w:ascii="Arial" w:hAnsi="Arial" w:cs="Arial"/>
                <w:i/>
                <w:lang w:val="fr-FR"/>
              </w:rPr>
              <w:t xml:space="preserve"> </w:t>
            </w:r>
            <w:r w:rsidRPr="00164367">
              <w:rPr>
                <w:rFonts w:ascii="Arial" w:hAnsi="Arial" w:cs="Arial"/>
                <w:lang w:val="fr-FR"/>
              </w:rPr>
              <w:t>(p. 21-32). Paris : Éditions des archives contemporaines.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Pisarska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A.,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Tomaszkiewicz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T. (1996).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Współczesne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tendencje</w:t>
            </w:r>
            <w:proofErr w:type="spellEnd"/>
            <w:r w:rsidRPr="00164367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i/>
                <w:color w:val="000000"/>
              </w:rPr>
              <w:t>przekładoznawcze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>. Poznań: Wydawnictwo Naukowe UAM.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Popineau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>, J. (2016). « </w:t>
            </w:r>
            <w:r w:rsidRPr="00164367">
              <w:rPr>
                <w:rFonts w:ascii="Arial" w:hAnsi="Arial" w:cs="Arial"/>
                <w:iCs/>
                <w:lang w:val="fr-FR"/>
              </w:rPr>
              <w:t xml:space="preserve">Quelle(s) didactique(s) universitaire(s) adopter en traductions juridique et technique ? ». </w:t>
            </w:r>
            <w:r w:rsidRPr="00164367">
              <w:rPr>
                <w:rFonts w:ascii="Arial" w:hAnsi="Arial" w:cs="Arial"/>
                <w:lang w:val="fr-FR"/>
              </w:rPr>
              <w:t xml:space="preserve">H. Medhat-Lecocq, D.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Negga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&amp; T. </w:t>
            </w:r>
            <w:proofErr w:type="spellStart"/>
            <w:r w:rsidRPr="00164367">
              <w:rPr>
                <w:rFonts w:ascii="Arial" w:hAnsi="Arial" w:cs="Arial"/>
                <w:lang w:val="fr-FR"/>
              </w:rPr>
              <w:t>Szende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 (éd.), </w:t>
            </w:r>
            <w:r w:rsidRPr="00164367">
              <w:rPr>
                <w:rFonts w:ascii="Arial" w:hAnsi="Arial" w:cs="Arial"/>
                <w:i/>
                <w:lang w:val="fr-FR"/>
              </w:rPr>
              <w:t xml:space="preserve">Traduction et apprentissage des langues. Entre médiation et </w:t>
            </w:r>
            <w:proofErr w:type="spellStart"/>
            <w:r w:rsidRPr="00164367">
              <w:rPr>
                <w:rFonts w:ascii="Arial" w:hAnsi="Arial" w:cs="Arial"/>
                <w:i/>
                <w:lang w:val="fr-FR"/>
              </w:rPr>
              <w:t>remédiation</w:t>
            </w:r>
            <w:proofErr w:type="spellEnd"/>
            <w:r w:rsidRPr="00164367">
              <w:rPr>
                <w:rFonts w:ascii="Arial" w:hAnsi="Arial" w:cs="Arial"/>
                <w:i/>
                <w:lang w:val="fr-FR"/>
              </w:rPr>
              <w:t xml:space="preserve"> </w:t>
            </w:r>
            <w:r w:rsidRPr="00164367">
              <w:rPr>
                <w:rFonts w:ascii="Arial" w:hAnsi="Arial" w:cs="Arial"/>
                <w:lang w:val="fr-FR"/>
              </w:rPr>
              <w:t>(p. 33-48). Paris : Éditions des archives contemporaines.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proofErr w:type="spellStart"/>
            <w:r w:rsidRPr="00164367">
              <w:rPr>
                <w:rFonts w:ascii="Arial" w:hAnsi="Arial" w:cs="Arial"/>
                <w:color w:val="000000"/>
              </w:rPr>
              <w:t>Rakova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Z. (2014). </w:t>
            </w:r>
            <w:r w:rsidRPr="00164367">
              <w:rPr>
                <w:rFonts w:ascii="Arial" w:hAnsi="Arial" w:cs="Arial"/>
                <w:i/>
                <w:color w:val="000000"/>
              </w:rPr>
              <w:t>Les théories de la traduction</w:t>
            </w:r>
            <w:r w:rsidRPr="00164367">
              <w:rPr>
                <w:rFonts w:ascii="Arial" w:hAnsi="Arial" w:cs="Arial"/>
                <w:color w:val="000000"/>
              </w:rPr>
              <w:t xml:space="preserve">. Brno: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Masarykova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164367">
              <w:rPr>
                <w:rFonts w:ascii="Arial" w:hAnsi="Arial" w:cs="Arial"/>
                <w:color w:val="000000"/>
              </w:rPr>
              <w:t>univerzita</w:t>
            </w:r>
            <w:proofErr w:type="spellEnd"/>
            <w:r w:rsidRPr="00164367">
              <w:rPr>
                <w:rFonts w:ascii="Arial" w:hAnsi="Arial" w:cs="Arial"/>
                <w:color w:val="000000"/>
              </w:rPr>
              <w:t>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Ricoeur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 xml:space="preserve">, P. (2004). </w:t>
            </w:r>
            <w:r w:rsidRPr="00164367">
              <w:rPr>
                <w:rFonts w:ascii="Arial" w:hAnsi="Arial" w:cs="Arial"/>
                <w:i/>
                <w:lang w:val="fr-FR"/>
              </w:rPr>
              <w:t>Sur la traduction.</w:t>
            </w:r>
            <w:r w:rsidRPr="00164367">
              <w:rPr>
                <w:rFonts w:ascii="Arial" w:hAnsi="Arial" w:cs="Arial"/>
                <w:lang w:val="fr-FR"/>
              </w:rPr>
              <w:t xml:space="preserve"> Paris : Bayard.</w:t>
            </w:r>
          </w:p>
          <w:p w:rsidR="00510DD9" w:rsidRPr="00164367" w:rsidRDefault="00510DD9" w:rsidP="00510DD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164367">
              <w:rPr>
                <w:rFonts w:ascii="Arial" w:hAnsi="Arial" w:cs="Arial"/>
                <w:lang w:val="fr-FR"/>
              </w:rPr>
              <w:t>Tomaszkiewicz</w:t>
            </w:r>
            <w:proofErr w:type="spellEnd"/>
            <w:r w:rsidRPr="00164367">
              <w:rPr>
                <w:rFonts w:ascii="Arial" w:hAnsi="Arial" w:cs="Arial"/>
                <w:lang w:val="fr-FR"/>
              </w:rPr>
              <w:t>, T. (2013). « </w:t>
            </w:r>
            <w:r w:rsidRPr="00164367">
              <w:rPr>
                <w:rFonts w:ascii="Arial" w:hAnsi="Arial" w:cs="Arial"/>
                <w:iCs/>
              </w:rPr>
              <w:t xml:space="preserve">Czy tłumaczenie z języka francuskiego na język polski jest zawsze równe takiemu samemu transferowi kulturowemu ». </w:t>
            </w:r>
            <w:r w:rsidRPr="00164367">
              <w:rPr>
                <w:rFonts w:ascii="Arial" w:hAnsi="Arial" w:cs="Arial"/>
              </w:rPr>
              <w:t xml:space="preserve">A. </w:t>
            </w:r>
            <w:proofErr w:type="spellStart"/>
            <w:r w:rsidRPr="00164367">
              <w:rPr>
                <w:rFonts w:ascii="Arial" w:hAnsi="Arial" w:cs="Arial"/>
              </w:rPr>
              <w:t>Ledwina</w:t>
            </w:r>
            <w:proofErr w:type="spellEnd"/>
            <w:r w:rsidRPr="00164367">
              <w:rPr>
                <w:rFonts w:ascii="Arial" w:hAnsi="Arial" w:cs="Arial"/>
              </w:rPr>
              <w:t xml:space="preserve"> &amp; K. </w:t>
            </w:r>
            <w:proofErr w:type="spellStart"/>
            <w:r w:rsidRPr="00164367">
              <w:rPr>
                <w:rFonts w:ascii="Arial" w:hAnsi="Arial" w:cs="Arial"/>
              </w:rPr>
              <w:t>Modrzejewska</w:t>
            </w:r>
            <w:proofErr w:type="spellEnd"/>
            <w:r w:rsidRPr="00164367">
              <w:rPr>
                <w:rFonts w:ascii="Arial" w:hAnsi="Arial" w:cs="Arial"/>
              </w:rPr>
              <w:t xml:space="preserve"> (éd.), </w:t>
            </w:r>
            <w:r w:rsidRPr="00164367">
              <w:rPr>
                <w:rFonts w:ascii="Arial" w:hAnsi="Arial" w:cs="Arial"/>
                <w:i/>
              </w:rPr>
              <w:t xml:space="preserve">Dystynkcje kulturowe w przekładzie z języka francuskiego na język polski </w:t>
            </w:r>
            <w:r w:rsidRPr="00164367">
              <w:rPr>
                <w:rFonts w:ascii="Arial" w:hAnsi="Arial" w:cs="Arial"/>
              </w:rPr>
              <w:t>(p. 11-24). Opole : Wydawnictwo Uniwersytetu Opolskiego.</w:t>
            </w:r>
          </w:p>
          <w:p w:rsidR="00510DD9" w:rsidRPr="00164367" w:rsidRDefault="00510DD9" w:rsidP="00510D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81117" w:rsidRPr="00164367" w:rsidRDefault="00EC630A" w:rsidP="00510D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0000"/>
                <w:lang w:val="pl-PL"/>
              </w:rPr>
            </w:pPr>
            <w:r w:rsidRPr="00164367">
              <w:rPr>
                <w:rFonts w:ascii="Arial" w:hAnsi="Arial" w:cs="Arial"/>
                <w:color w:val="000000"/>
                <w:lang w:val="pl-PL"/>
              </w:rPr>
              <w:t>Oraz wybrane</w:t>
            </w:r>
            <w:r w:rsidR="00F81117" w:rsidRPr="00164367">
              <w:rPr>
                <w:rFonts w:ascii="Arial" w:hAnsi="Arial" w:cs="Arial"/>
                <w:color w:val="000000"/>
                <w:lang w:val="pl-PL"/>
              </w:rPr>
              <w:t xml:space="preserve"> teksty</w:t>
            </w:r>
            <w:r w:rsidRPr="00164367">
              <w:rPr>
                <w:rFonts w:ascii="Arial" w:hAnsi="Arial" w:cs="Arial"/>
                <w:color w:val="000000"/>
                <w:lang w:val="pl-PL"/>
              </w:rPr>
              <w:t>/artykuły</w:t>
            </w:r>
            <w:r w:rsidR="00F81117" w:rsidRPr="00164367">
              <w:rPr>
                <w:rFonts w:ascii="Arial" w:hAnsi="Arial" w:cs="Arial"/>
                <w:color w:val="000000"/>
                <w:lang w:val="pl-PL"/>
              </w:rPr>
              <w:t xml:space="preserve"> poświę</w:t>
            </w:r>
            <w:r w:rsidRPr="00164367">
              <w:rPr>
                <w:rFonts w:ascii="Arial" w:hAnsi="Arial" w:cs="Arial"/>
                <w:color w:val="000000"/>
                <w:lang w:val="pl-PL"/>
              </w:rPr>
              <w:t xml:space="preserve">cone </w:t>
            </w:r>
            <w:r w:rsidR="00982392" w:rsidRPr="00164367">
              <w:rPr>
                <w:rFonts w:ascii="Arial" w:hAnsi="Arial" w:cs="Arial"/>
                <w:color w:val="000000"/>
                <w:lang w:val="pl-PL"/>
              </w:rPr>
              <w:t>tłumaczeniom i tłumaczeniom pragmatycznym</w:t>
            </w:r>
            <w:r w:rsidR="00F81117" w:rsidRPr="00164367">
              <w:rPr>
                <w:rFonts w:ascii="Arial" w:hAnsi="Arial" w:cs="Arial"/>
                <w:color w:val="000000"/>
                <w:lang w:val="pl-PL"/>
              </w:rPr>
              <w:t xml:space="preserve"> wyszukiwane na bieżąco w miarę zainteresowań badawczych studentów</w:t>
            </w:r>
          </w:p>
        </w:tc>
      </w:tr>
    </w:tbl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p w:rsidR="00303F50" w:rsidRPr="00164367" w:rsidRDefault="00303F50">
      <w:pPr>
        <w:pStyle w:val="Tekstdymka1"/>
        <w:rPr>
          <w:rFonts w:ascii="Arial" w:hAnsi="Arial" w:cs="Arial"/>
          <w:sz w:val="22"/>
        </w:rPr>
      </w:pPr>
    </w:p>
    <w:p w:rsidR="00303F50" w:rsidRPr="00164367" w:rsidRDefault="00303F50">
      <w:pPr>
        <w:pStyle w:val="Tekstdymka1"/>
        <w:rPr>
          <w:rFonts w:ascii="Arial" w:hAnsi="Arial" w:cs="Arial"/>
          <w:sz w:val="22"/>
        </w:rPr>
      </w:pPr>
      <w:r w:rsidRPr="00164367">
        <w:rPr>
          <w:rFonts w:ascii="Arial" w:hAnsi="Arial" w:cs="Arial"/>
          <w:sz w:val="22"/>
        </w:rPr>
        <w:t>Bilans godzinowy zgodny z CNPS (Całkowity Nakład Pracy Studenta)</w:t>
      </w:r>
    </w:p>
    <w:p w:rsidR="00303F50" w:rsidRPr="0016436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303F50" w:rsidRPr="0016436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16436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16436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164367" w:rsidRDefault="0098239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:rsidRPr="0016436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164367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164367" w:rsidRDefault="00DD3CBD" w:rsidP="00614F0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F873C4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759A2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16436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16436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</w:t>
            </w:r>
            <w:r w:rsidR="00303F50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164367" w:rsidRDefault="00DD3CBD" w:rsidP="005555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6759A2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16436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164367" w:rsidRDefault="00DD3CB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16436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164367" w:rsidRDefault="006759A2" w:rsidP="00614F0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16436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164367" w:rsidRDefault="0098239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16436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16436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164367" w:rsidRDefault="0098239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:rsidRPr="0016436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164367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164367" w:rsidRDefault="0098239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643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8F00B1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95D" w:rsidRDefault="00F2095D">
      <w:r>
        <w:separator/>
      </w:r>
    </w:p>
  </w:endnote>
  <w:endnote w:type="continuationSeparator" w:id="0">
    <w:p w:rsidR="00F2095D" w:rsidRDefault="00F209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Gothic"/>
    <w:charset w:val="80"/>
    <w:family w:val="auto"/>
    <w:pitch w:val="default"/>
    <w:sig w:usb0="00000000" w:usb1="00000000" w:usb2="00000000" w:usb3="00000000" w:csb0="00000000" w:csb1="00000000"/>
  </w:font>
  <w:font w:name="MyriadPro-Semibold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3C4" w:rsidRDefault="005466B4">
    <w:pPr>
      <w:pStyle w:val="Stopka"/>
      <w:jc w:val="right"/>
    </w:pPr>
    <w:fldSimple w:instr="PAGE   \* MERGEFORMAT">
      <w:r w:rsidR="00400D4F">
        <w:rPr>
          <w:noProof/>
        </w:rPr>
        <w:t>4</w:t>
      </w:r>
    </w:fldSimple>
  </w:p>
  <w:p w:rsidR="00F873C4" w:rsidRDefault="00F873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95D" w:rsidRDefault="00F2095D">
      <w:r>
        <w:separator/>
      </w:r>
    </w:p>
  </w:footnote>
  <w:footnote w:type="continuationSeparator" w:id="0">
    <w:p w:rsidR="00F2095D" w:rsidRDefault="00F209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3C4" w:rsidRDefault="00F873C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53178D"/>
    <w:multiLevelType w:val="hybridMultilevel"/>
    <w:tmpl w:val="E06E8D50"/>
    <w:lvl w:ilvl="0" w:tplc="B09272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6D33"/>
    <w:multiLevelType w:val="hybridMultilevel"/>
    <w:tmpl w:val="58EA788E"/>
    <w:lvl w:ilvl="0" w:tplc="7042004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C71EC3"/>
    <w:multiLevelType w:val="hybridMultilevel"/>
    <w:tmpl w:val="CC207DF8"/>
    <w:lvl w:ilvl="0" w:tplc="DD267C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6F472F4"/>
    <w:multiLevelType w:val="hybridMultilevel"/>
    <w:tmpl w:val="1FBA7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4B402B"/>
    <w:multiLevelType w:val="hybridMultilevel"/>
    <w:tmpl w:val="FA42608C"/>
    <w:lvl w:ilvl="0" w:tplc="4C527CE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F020495"/>
    <w:multiLevelType w:val="hybridMultilevel"/>
    <w:tmpl w:val="1D78F448"/>
    <w:lvl w:ilvl="0" w:tplc="21DE9C3E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180967"/>
    <w:multiLevelType w:val="hybridMultilevel"/>
    <w:tmpl w:val="3B6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F1028"/>
    <w:multiLevelType w:val="hybridMultilevel"/>
    <w:tmpl w:val="07FEF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0C1629"/>
    <w:multiLevelType w:val="hybridMultilevel"/>
    <w:tmpl w:val="B3B475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A026A45"/>
    <w:multiLevelType w:val="hybridMultilevel"/>
    <w:tmpl w:val="28AC971C"/>
    <w:lvl w:ilvl="0" w:tplc="A89292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A1BD6"/>
    <w:multiLevelType w:val="hybridMultilevel"/>
    <w:tmpl w:val="3768FE9A"/>
    <w:lvl w:ilvl="0" w:tplc="0D4429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4C71BD"/>
    <w:multiLevelType w:val="hybridMultilevel"/>
    <w:tmpl w:val="D206C136"/>
    <w:lvl w:ilvl="0" w:tplc="93828A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57AFD"/>
    <w:multiLevelType w:val="hybridMultilevel"/>
    <w:tmpl w:val="351CC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E31812"/>
    <w:multiLevelType w:val="hybridMultilevel"/>
    <w:tmpl w:val="22FA1904"/>
    <w:lvl w:ilvl="0" w:tplc="0AE427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1B46EE"/>
    <w:multiLevelType w:val="hybridMultilevel"/>
    <w:tmpl w:val="57C471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94178A"/>
    <w:multiLevelType w:val="hybridMultilevel"/>
    <w:tmpl w:val="8B1C1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216258"/>
    <w:multiLevelType w:val="hybridMultilevel"/>
    <w:tmpl w:val="D8143ACC"/>
    <w:lvl w:ilvl="0" w:tplc="B2DC58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4510A7"/>
    <w:multiLevelType w:val="hybridMultilevel"/>
    <w:tmpl w:val="68A296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87667"/>
    <w:multiLevelType w:val="hybridMultilevel"/>
    <w:tmpl w:val="1E82A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0D5332"/>
    <w:multiLevelType w:val="hybridMultilevel"/>
    <w:tmpl w:val="C2A849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050177"/>
    <w:multiLevelType w:val="hybridMultilevel"/>
    <w:tmpl w:val="A70E6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6468E8"/>
    <w:multiLevelType w:val="hybridMultilevel"/>
    <w:tmpl w:val="C5D4C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D11559"/>
    <w:multiLevelType w:val="hybridMultilevel"/>
    <w:tmpl w:val="7E10CBCA"/>
    <w:lvl w:ilvl="0" w:tplc="DF02EE46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70F54A8"/>
    <w:multiLevelType w:val="hybridMultilevel"/>
    <w:tmpl w:val="ADD2C5CA"/>
    <w:lvl w:ilvl="0" w:tplc="0AE4270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D31744"/>
    <w:multiLevelType w:val="hybridMultilevel"/>
    <w:tmpl w:val="14289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9C745D"/>
    <w:multiLevelType w:val="hybridMultilevel"/>
    <w:tmpl w:val="DD1E5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F15DF1"/>
    <w:multiLevelType w:val="hybridMultilevel"/>
    <w:tmpl w:val="770C6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3B27FB"/>
    <w:multiLevelType w:val="hybridMultilevel"/>
    <w:tmpl w:val="E2440874"/>
    <w:lvl w:ilvl="0" w:tplc="0AE4270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AD55C34"/>
    <w:multiLevelType w:val="hybridMultilevel"/>
    <w:tmpl w:val="B6987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2C1836"/>
    <w:multiLevelType w:val="hybridMultilevel"/>
    <w:tmpl w:val="F1EA5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56704"/>
    <w:multiLevelType w:val="hybridMultilevel"/>
    <w:tmpl w:val="B1B4D4A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350FD5"/>
    <w:multiLevelType w:val="hybridMultilevel"/>
    <w:tmpl w:val="1B3C16FE"/>
    <w:lvl w:ilvl="0" w:tplc="DD267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804B83"/>
    <w:multiLevelType w:val="hybridMultilevel"/>
    <w:tmpl w:val="D6FAD23E"/>
    <w:lvl w:ilvl="0" w:tplc="24007EF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EA74075"/>
    <w:multiLevelType w:val="hybridMultilevel"/>
    <w:tmpl w:val="2B5265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EE0ED8"/>
    <w:multiLevelType w:val="hybridMultilevel"/>
    <w:tmpl w:val="7408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0598B"/>
    <w:multiLevelType w:val="hybridMultilevel"/>
    <w:tmpl w:val="E53000B8"/>
    <w:lvl w:ilvl="0" w:tplc="E79C0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B220E1"/>
    <w:multiLevelType w:val="hybridMultilevel"/>
    <w:tmpl w:val="BCCA3448"/>
    <w:lvl w:ilvl="0" w:tplc="04D255C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BB63CF6"/>
    <w:multiLevelType w:val="hybridMultilevel"/>
    <w:tmpl w:val="F8FC8C8A"/>
    <w:lvl w:ilvl="0" w:tplc="DD267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604F0B"/>
    <w:multiLevelType w:val="hybridMultilevel"/>
    <w:tmpl w:val="1996FE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4"/>
  </w:num>
  <w:num w:numId="4">
    <w:abstractNumId w:val="40"/>
  </w:num>
  <w:num w:numId="5">
    <w:abstractNumId w:val="19"/>
  </w:num>
  <w:num w:numId="6">
    <w:abstractNumId w:val="36"/>
  </w:num>
  <w:num w:numId="7">
    <w:abstractNumId w:val="16"/>
  </w:num>
  <w:num w:numId="8">
    <w:abstractNumId w:val="39"/>
  </w:num>
  <w:num w:numId="9">
    <w:abstractNumId w:val="12"/>
  </w:num>
  <w:num w:numId="10">
    <w:abstractNumId w:val="32"/>
  </w:num>
  <w:num w:numId="11">
    <w:abstractNumId w:val="7"/>
  </w:num>
  <w:num w:numId="12">
    <w:abstractNumId w:val="43"/>
  </w:num>
  <w:num w:numId="13">
    <w:abstractNumId w:val="41"/>
  </w:num>
  <w:num w:numId="14">
    <w:abstractNumId w:val="37"/>
  </w:num>
  <w:num w:numId="15">
    <w:abstractNumId w:val="10"/>
  </w:num>
  <w:num w:numId="16">
    <w:abstractNumId w:val="33"/>
  </w:num>
  <w:num w:numId="17">
    <w:abstractNumId w:val="24"/>
  </w:num>
  <w:num w:numId="18">
    <w:abstractNumId w:val="2"/>
  </w:num>
  <w:num w:numId="19">
    <w:abstractNumId w:val="22"/>
  </w:num>
  <w:num w:numId="20">
    <w:abstractNumId w:val="15"/>
  </w:num>
  <w:num w:numId="21">
    <w:abstractNumId w:val="26"/>
  </w:num>
  <w:num w:numId="22">
    <w:abstractNumId w:val="30"/>
  </w:num>
  <w:num w:numId="23">
    <w:abstractNumId w:val="29"/>
  </w:num>
  <w:num w:numId="24">
    <w:abstractNumId w:val="23"/>
  </w:num>
  <w:num w:numId="25">
    <w:abstractNumId w:val="14"/>
  </w:num>
  <w:num w:numId="26">
    <w:abstractNumId w:val="25"/>
  </w:num>
  <w:num w:numId="27">
    <w:abstractNumId w:val="11"/>
  </w:num>
  <w:num w:numId="28">
    <w:abstractNumId w:val="6"/>
  </w:num>
  <w:num w:numId="29">
    <w:abstractNumId w:val="20"/>
  </w:num>
  <w:num w:numId="30">
    <w:abstractNumId w:val="13"/>
  </w:num>
  <w:num w:numId="31">
    <w:abstractNumId w:val="18"/>
  </w:num>
  <w:num w:numId="32">
    <w:abstractNumId w:val="17"/>
  </w:num>
  <w:num w:numId="33">
    <w:abstractNumId w:val="3"/>
  </w:num>
  <w:num w:numId="34">
    <w:abstractNumId w:val="31"/>
  </w:num>
  <w:num w:numId="35">
    <w:abstractNumId w:val="8"/>
  </w:num>
  <w:num w:numId="36">
    <w:abstractNumId w:val="5"/>
  </w:num>
  <w:num w:numId="37">
    <w:abstractNumId w:val="28"/>
  </w:num>
  <w:num w:numId="38">
    <w:abstractNumId w:val="27"/>
  </w:num>
  <w:num w:numId="39">
    <w:abstractNumId w:val="9"/>
  </w:num>
  <w:num w:numId="40">
    <w:abstractNumId w:val="42"/>
  </w:num>
  <w:num w:numId="41">
    <w:abstractNumId w:val="38"/>
  </w:num>
  <w:num w:numId="42">
    <w:abstractNumId w:val="35"/>
  </w:num>
  <w:num w:numId="43">
    <w:abstractNumId w:val="4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700CD5"/>
    <w:rsid w:val="00027707"/>
    <w:rsid w:val="000B2534"/>
    <w:rsid w:val="000B37CE"/>
    <w:rsid w:val="00100173"/>
    <w:rsid w:val="00110FC9"/>
    <w:rsid w:val="00142C64"/>
    <w:rsid w:val="00150D63"/>
    <w:rsid w:val="00164367"/>
    <w:rsid w:val="0016589A"/>
    <w:rsid w:val="00186493"/>
    <w:rsid w:val="00213E8D"/>
    <w:rsid w:val="00241D31"/>
    <w:rsid w:val="0024227F"/>
    <w:rsid w:val="00270CA6"/>
    <w:rsid w:val="002A2F6C"/>
    <w:rsid w:val="002C0998"/>
    <w:rsid w:val="002C52CD"/>
    <w:rsid w:val="002C7FBF"/>
    <w:rsid w:val="002E2D67"/>
    <w:rsid w:val="002E379F"/>
    <w:rsid w:val="00303F50"/>
    <w:rsid w:val="00350EA6"/>
    <w:rsid w:val="0039256E"/>
    <w:rsid w:val="00394B50"/>
    <w:rsid w:val="003A1D2E"/>
    <w:rsid w:val="003C0475"/>
    <w:rsid w:val="003E5DE7"/>
    <w:rsid w:val="0040091C"/>
    <w:rsid w:val="00400D4F"/>
    <w:rsid w:val="004210D7"/>
    <w:rsid w:val="00434CDD"/>
    <w:rsid w:val="00452FF5"/>
    <w:rsid w:val="00464E0D"/>
    <w:rsid w:val="0047541B"/>
    <w:rsid w:val="00475B8C"/>
    <w:rsid w:val="0049086B"/>
    <w:rsid w:val="00494F6A"/>
    <w:rsid w:val="004D76D3"/>
    <w:rsid w:val="004E28F0"/>
    <w:rsid w:val="004E6337"/>
    <w:rsid w:val="004F0DD6"/>
    <w:rsid w:val="00503F1B"/>
    <w:rsid w:val="00510DD9"/>
    <w:rsid w:val="00511006"/>
    <w:rsid w:val="0052633B"/>
    <w:rsid w:val="005466B4"/>
    <w:rsid w:val="0055552C"/>
    <w:rsid w:val="00560225"/>
    <w:rsid w:val="0058472D"/>
    <w:rsid w:val="00592BE7"/>
    <w:rsid w:val="005B7A56"/>
    <w:rsid w:val="005C068F"/>
    <w:rsid w:val="005E0F0D"/>
    <w:rsid w:val="00614F09"/>
    <w:rsid w:val="00645B5E"/>
    <w:rsid w:val="00656AC0"/>
    <w:rsid w:val="00657C11"/>
    <w:rsid w:val="006759A2"/>
    <w:rsid w:val="006A7E0B"/>
    <w:rsid w:val="006B043F"/>
    <w:rsid w:val="006D59BD"/>
    <w:rsid w:val="006E78CB"/>
    <w:rsid w:val="00700CD5"/>
    <w:rsid w:val="00716872"/>
    <w:rsid w:val="00723E2B"/>
    <w:rsid w:val="00764760"/>
    <w:rsid w:val="007763CA"/>
    <w:rsid w:val="00827D3B"/>
    <w:rsid w:val="008372BC"/>
    <w:rsid w:val="00847145"/>
    <w:rsid w:val="008A1B21"/>
    <w:rsid w:val="008A452B"/>
    <w:rsid w:val="008B15AC"/>
    <w:rsid w:val="008B491F"/>
    <w:rsid w:val="008B703C"/>
    <w:rsid w:val="008C677B"/>
    <w:rsid w:val="008C6DAE"/>
    <w:rsid w:val="008E2AB8"/>
    <w:rsid w:val="008F00B1"/>
    <w:rsid w:val="009026FF"/>
    <w:rsid w:val="009133DB"/>
    <w:rsid w:val="00924C50"/>
    <w:rsid w:val="00931AEA"/>
    <w:rsid w:val="00982392"/>
    <w:rsid w:val="00986884"/>
    <w:rsid w:val="009870AE"/>
    <w:rsid w:val="009B747C"/>
    <w:rsid w:val="009D788E"/>
    <w:rsid w:val="009F6CB3"/>
    <w:rsid w:val="00A41EDD"/>
    <w:rsid w:val="00A61E33"/>
    <w:rsid w:val="00A8544F"/>
    <w:rsid w:val="00A86281"/>
    <w:rsid w:val="00AA0656"/>
    <w:rsid w:val="00AB587D"/>
    <w:rsid w:val="00AC3AE7"/>
    <w:rsid w:val="00AC7385"/>
    <w:rsid w:val="00AD7E78"/>
    <w:rsid w:val="00AE17A0"/>
    <w:rsid w:val="00B0230E"/>
    <w:rsid w:val="00B076C2"/>
    <w:rsid w:val="00B258E5"/>
    <w:rsid w:val="00B3785D"/>
    <w:rsid w:val="00B4744E"/>
    <w:rsid w:val="00B56911"/>
    <w:rsid w:val="00B82420"/>
    <w:rsid w:val="00BC65DB"/>
    <w:rsid w:val="00BD4E33"/>
    <w:rsid w:val="00BE7A33"/>
    <w:rsid w:val="00BF6CA8"/>
    <w:rsid w:val="00C04C59"/>
    <w:rsid w:val="00C77885"/>
    <w:rsid w:val="00D032E9"/>
    <w:rsid w:val="00D15D8A"/>
    <w:rsid w:val="00D32FBE"/>
    <w:rsid w:val="00D41DE2"/>
    <w:rsid w:val="00D549D0"/>
    <w:rsid w:val="00D64EC1"/>
    <w:rsid w:val="00DB3679"/>
    <w:rsid w:val="00DC05E7"/>
    <w:rsid w:val="00DD3CBD"/>
    <w:rsid w:val="00E0288E"/>
    <w:rsid w:val="00E1545B"/>
    <w:rsid w:val="00E30374"/>
    <w:rsid w:val="00E31DCD"/>
    <w:rsid w:val="00E3284D"/>
    <w:rsid w:val="00E729C2"/>
    <w:rsid w:val="00E86648"/>
    <w:rsid w:val="00E94E56"/>
    <w:rsid w:val="00EA0B60"/>
    <w:rsid w:val="00EC630A"/>
    <w:rsid w:val="00F046EA"/>
    <w:rsid w:val="00F2095D"/>
    <w:rsid w:val="00F25EEA"/>
    <w:rsid w:val="00F278D6"/>
    <w:rsid w:val="00F47FC4"/>
    <w:rsid w:val="00F56D94"/>
    <w:rsid w:val="00F77B84"/>
    <w:rsid w:val="00F81117"/>
    <w:rsid w:val="00F873C4"/>
    <w:rsid w:val="00FB4B95"/>
    <w:rsid w:val="00FC5A62"/>
    <w:rsid w:val="00FE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0B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8F00B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076C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F00B1"/>
  </w:style>
  <w:style w:type="character" w:styleId="Numerstrony">
    <w:name w:val="page number"/>
    <w:semiHidden/>
    <w:rsid w:val="008F00B1"/>
    <w:rPr>
      <w:sz w:val="14"/>
      <w:szCs w:val="14"/>
    </w:rPr>
  </w:style>
  <w:style w:type="paragraph" w:styleId="Tekstpodstawowy">
    <w:name w:val="Body Text"/>
    <w:basedOn w:val="Normalny"/>
    <w:semiHidden/>
    <w:rsid w:val="008F00B1"/>
    <w:pPr>
      <w:spacing w:after="120"/>
    </w:pPr>
  </w:style>
  <w:style w:type="paragraph" w:customStyle="1" w:styleId="Podpis1">
    <w:name w:val="Podpis1"/>
    <w:basedOn w:val="Normalny"/>
    <w:rsid w:val="008F00B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8F00B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8F00B1"/>
  </w:style>
  <w:style w:type="paragraph" w:styleId="Stopka">
    <w:name w:val="footer"/>
    <w:basedOn w:val="Normalny"/>
    <w:semiHidden/>
    <w:rsid w:val="008F00B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F00B1"/>
    <w:pPr>
      <w:suppressLineNumbers/>
    </w:pPr>
  </w:style>
  <w:style w:type="paragraph" w:customStyle="1" w:styleId="Nagwektabeli">
    <w:name w:val="Nagłówek tabeli"/>
    <w:basedOn w:val="Zawartotabeli"/>
    <w:rsid w:val="008F00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F00B1"/>
  </w:style>
  <w:style w:type="paragraph" w:customStyle="1" w:styleId="Indeks">
    <w:name w:val="Indeks"/>
    <w:basedOn w:val="Normalny"/>
    <w:rsid w:val="008F00B1"/>
    <w:pPr>
      <w:suppressLineNumbers/>
    </w:pPr>
  </w:style>
  <w:style w:type="character" w:styleId="Odwoaniedokomentarza">
    <w:name w:val="annotation reference"/>
    <w:semiHidden/>
    <w:rsid w:val="008F00B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F00B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8F00B1"/>
    <w:rPr>
      <w:b/>
      <w:bCs/>
    </w:rPr>
  </w:style>
  <w:style w:type="paragraph" w:customStyle="1" w:styleId="Tekstdymka1">
    <w:name w:val="Tekst dymka1"/>
    <w:basedOn w:val="Normalny"/>
    <w:rsid w:val="008F00B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00B1"/>
    <w:rPr>
      <w:sz w:val="20"/>
      <w:szCs w:val="20"/>
    </w:rPr>
  </w:style>
  <w:style w:type="character" w:styleId="Odwoanieprzypisudolnego">
    <w:name w:val="footnote reference"/>
    <w:semiHidden/>
    <w:rsid w:val="008F00B1"/>
    <w:rPr>
      <w:vertAlign w:val="superscript"/>
    </w:rPr>
  </w:style>
  <w:style w:type="character" w:customStyle="1" w:styleId="StopkaZnak">
    <w:name w:val="Stopka Znak"/>
    <w:rsid w:val="008F00B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B076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B076C2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fr-CA" w:eastAsia="en-US"/>
    </w:rPr>
  </w:style>
  <w:style w:type="character" w:styleId="Hipercze">
    <w:name w:val="Hyperlink"/>
    <w:uiPriority w:val="99"/>
    <w:semiHidden/>
    <w:unhideWhenUsed/>
    <w:rsid w:val="00B076C2"/>
    <w:rPr>
      <w:color w:val="0000FF"/>
      <w:u w:val="single"/>
    </w:rPr>
  </w:style>
  <w:style w:type="paragraph" w:styleId="Tekstprzypisukocowego">
    <w:name w:val="endnote text"/>
    <w:basedOn w:val="Normalny"/>
    <w:semiHidden/>
    <w:rsid w:val="00EC630A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EC630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995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Bofran</cp:lastModifiedBy>
  <cp:revision>8</cp:revision>
  <cp:lastPrinted>2012-01-27T06:28:00Z</cp:lastPrinted>
  <dcterms:created xsi:type="dcterms:W3CDTF">2023-10-02T07:19:00Z</dcterms:created>
  <dcterms:modified xsi:type="dcterms:W3CDTF">2023-10-03T06:57:00Z</dcterms:modified>
</cp:coreProperties>
</file>